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2FD" w:rsidRDefault="002002FD">
      <w:pPr>
        <w:pStyle w:val="ConsPlusNormal"/>
        <w:jc w:val="right"/>
        <w:outlineLvl w:val="0"/>
      </w:pPr>
      <w:bookmarkStart w:id="0" w:name="_GoBack"/>
      <w:bookmarkEnd w:id="0"/>
      <w:r>
        <w:t>Приложение N 2</w:t>
      </w:r>
    </w:p>
    <w:p w:rsidR="002002FD" w:rsidRDefault="002002FD">
      <w:pPr>
        <w:pStyle w:val="ConsPlusNormal"/>
        <w:jc w:val="right"/>
      </w:pPr>
      <w:r>
        <w:t>к решению Думы Белоярского района</w:t>
      </w:r>
    </w:p>
    <w:p w:rsidR="002002FD" w:rsidRDefault="002002FD">
      <w:pPr>
        <w:pStyle w:val="ConsPlusNormal"/>
        <w:jc w:val="right"/>
      </w:pPr>
      <w:r>
        <w:t>от 29 ноября 2019 года N 63</w:t>
      </w:r>
    </w:p>
    <w:p w:rsidR="002002FD" w:rsidRDefault="002002FD">
      <w:pPr>
        <w:pStyle w:val="ConsPlusNormal"/>
        <w:jc w:val="both"/>
      </w:pPr>
    </w:p>
    <w:p w:rsidR="002002FD" w:rsidRDefault="002002FD">
      <w:pPr>
        <w:pStyle w:val="ConsPlusTitle"/>
        <w:jc w:val="center"/>
      </w:pPr>
      <w:r>
        <w:t>ВЕРХНИЙ ПРЕДЕЛ</w:t>
      </w:r>
    </w:p>
    <w:p w:rsidR="002002FD" w:rsidRDefault="002002FD">
      <w:pPr>
        <w:pStyle w:val="ConsPlusTitle"/>
        <w:jc w:val="center"/>
      </w:pPr>
      <w:r>
        <w:t>МУНИЦИПАЛЬНОГО ВНУТРЕННЕГО ДОЛГА БЕЛОЯРСКОГО РАЙОНА</w:t>
      </w:r>
    </w:p>
    <w:p w:rsidR="002002FD" w:rsidRDefault="002002FD">
      <w:pPr>
        <w:pStyle w:val="ConsPlusTitle"/>
        <w:jc w:val="center"/>
      </w:pPr>
      <w:r>
        <w:t>ПО СОСТОЯНИЮ НА 1 ЯНВАРЯ 2021 ГОДА, НА 1 ЯНВАРЯ 2022 ГОДА</w:t>
      </w:r>
    </w:p>
    <w:p w:rsidR="002002FD" w:rsidRDefault="002002FD">
      <w:pPr>
        <w:pStyle w:val="ConsPlusTitle"/>
        <w:jc w:val="center"/>
      </w:pPr>
      <w:r>
        <w:t>И НА 1 ЯНВАРЯ 2023 ГОДА</w:t>
      </w:r>
    </w:p>
    <w:p w:rsidR="002002FD" w:rsidRDefault="002002FD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2002FD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02FD" w:rsidRDefault="002002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02FD" w:rsidRDefault="002002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2002FD" w:rsidRDefault="002002FD">
      <w:pPr>
        <w:pStyle w:val="ConsPlusNormal"/>
        <w:jc w:val="both"/>
      </w:pPr>
    </w:p>
    <w:p w:rsidR="002002FD" w:rsidRDefault="002002FD">
      <w:pPr>
        <w:pStyle w:val="ConsPlusNormal"/>
        <w:jc w:val="right"/>
      </w:pPr>
      <w:r>
        <w:t>(рублей)</w:t>
      </w:r>
    </w:p>
    <w:p w:rsidR="002002FD" w:rsidRDefault="002002F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948"/>
        <w:gridCol w:w="1814"/>
        <w:gridCol w:w="1814"/>
        <w:gridCol w:w="1814"/>
      </w:tblGrid>
      <w:tr w:rsidR="002002FD">
        <w:tc>
          <w:tcPr>
            <w:tcW w:w="680" w:type="dxa"/>
          </w:tcPr>
          <w:p w:rsidR="002002FD" w:rsidRDefault="002002F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48" w:type="dxa"/>
          </w:tcPr>
          <w:p w:rsidR="002002FD" w:rsidRDefault="002002FD">
            <w:pPr>
              <w:pStyle w:val="ConsPlusNormal"/>
              <w:jc w:val="center"/>
            </w:pPr>
            <w:r>
              <w:t>Вид долгового обязательства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  <w:jc w:val="center"/>
            </w:pPr>
            <w:r>
              <w:t>на 1 января 2021 года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  <w:jc w:val="center"/>
            </w:pPr>
            <w:r>
              <w:t>на 1 января 2022 года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  <w:jc w:val="center"/>
            </w:pPr>
            <w:r>
              <w:t>на 1 января 2023 года</w:t>
            </w:r>
          </w:p>
        </w:tc>
      </w:tr>
      <w:tr w:rsidR="002002FD">
        <w:tc>
          <w:tcPr>
            <w:tcW w:w="680" w:type="dxa"/>
          </w:tcPr>
          <w:p w:rsidR="002002FD" w:rsidRDefault="002002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2002FD" w:rsidRDefault="002002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  <w:jc w:val="center"/>
            </w:pPr>
            <w:r>
              <w:t>5</w:t>
            </w:r>
          </w:p>
        </w:tc>
      </w:tr>
      <w:tr w:rsidR="002002FD">
        <w:tc>
          <w:tcPr>
            <w:tcW w:w="680" w:type="dxa"/>
          </w:tcPr>
          <w:p w:rsidR="002002FD" w:rsidRDefault="002002FD">
            <w:pPr>
              <w:pStyle w:val="ConsPlusNormal"/>
            </w:pPr>
            <w:r>
              <w:t>1</w:t>
            </w:r>
          </w:p>
        </w:tc>
        <w:tc>
          <w:tcPr>
            <w:tcW w:w="2948" w:type="dxa"/>
          </w:tcPr>
          <w:p w:rsidR="002002FD" w:rsidRDefault="002002FD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</w:pPr>
            <w:r>
              <w:t>300681821,00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</w:pPr>
            <w:r>
              <w:t>312708495,00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</w:pPr>
            <w:r>
              <w:t>325217075,00</w:t>
            </w:r>
          </w:p>
        </w:tc>
      </w:tr>
      <w:tr w:rsidR="002002FD">
        <w:tc>
          <w:tcPr>
            <w:tcW w:w="680" w:type="dxa"/>
          </w:tcPr>
          <w:p w:rsidR="002002FD" w:rsidRDefault="002002FD">
            <w:pPr>
              <w:pStyle w:val="ConsPlusNormal"/>
            </w:pPr>
            <w:r>
              <w:t>1.1</w:t>
            </w:r>
          </w:p>
        </w:tc>
        <w:tc>
          <w:tcPr>
            <w:tcW w:w="2948" w:type="dxa"/>
          </w:tcPr>
          <w:p w:rsidR="002002FD" w:rsidRDefault="002002FD">
            <w:pPr>
              <w:pStyle w:val="ConsPlusNormal"/>
            </w:pPr>
            <w:r>
              <w:t>в том числе</w:t>
            </w:r>
          </w:p>
          <w:p w:rsidR="002002FD" w:rsidRDefault="002002FD">
            <w:pPr>
              <w:pStyle w:val="ConsPlusNormal"/>
            </w:pPr>
            <w:r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</w:pPr>
            <w:r>
              <w:t>300681821,00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</w:pPr>
            <w:r>
              <w:t>312708495,00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</w:pPr>
            <w:r>
              <w:t>325217075,00</w:t>
            </w:r>
          </w:p>
        </w:tc>
      </w:tr>
      <w:tr w:rsidR="002002FD">
        <w:tc>
          <w:tcPr>
            <w:tcW w:w="680" w:type="dxa"/>
          </w:tcPr>
          <w:p w:rsidR="002002FD" w:rsidRDefault="002002FD">
            <w:pPr>
              <w:pStyle w:val="ConsPlusNormal"/>
            </w:pPr>
            <w:r>
              <w:t>1.2</w:t>
            </w:r>
          </w:p>
        </w:tc>
        <w:tc>
          <w:tcPr>
            <w:tcW w:w="2948" w:type="dxa"/>
          </w:tcPr>
          <w:p w:rsidR="002002FD" w:rsidRDefault="002002FD">
            <w:pPr>
              <w:pStyle w:val="ConsPlusNormal"/>
            </w:pPr>
            <w:r>
              <w:t>Муниципальные гарантии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2002FD" w:rsidRDefault="002002FD">
            <w:pPr>
              <w:pStyle w:val="ConsPlusNormal"/>
            </w:pPr>
            <w:r>
              <w:t>0,00</w:t>
            </w:r>
          </w:p>
        </w:tc>
      </w:tr>
    </w:tbl>
    <w:p w:rsidR="002002FD" w:rsidRDefault="002002FD">
      <w:pPr>
        <w:pStyle w:val="ConsPlusNormal"/>
        <w:jc w:val="both"/>
      </w:pPr>
    </w:p>
    <w:p w:rsidR="002002FD" w:rsidRDefault="002002FD">
      <w:pPr>
        <w:pStyle w:val="ConsPlusNormal"/>
        <w:jc w:val="both"/>
      </w:pPr>
    </w:p>
    <w:p w:rsidR="002002FD" w:rsidRDefault="002002FD">
      <w:pPr>
        <w:pStyle w:val="ConsPlusNormal"/>
        <w:jc w:val="both"/>
      </w:pPr>
    </w:p>
    <w:p w:rsidR="002002FD" w:rsidRDefault="002002FD">
      <w:pPr>
        <w:pStyle w:val="ConsPlusNormal"/>
        <w:jc w:val="both"/>
      </w:pPr>
    </w:p>
    <w:p w:rsidR="002002FD" w:rsidRDefault="002002FD">
      <w:pPr>
        <w:pStyle w:val="ConsPlusNormal"/>
        <w:jc w:val="both"/>
      </w:pPr>
    </w:p>
    <w:p w:rsidR="00DF1DFE" w:rsidRDefault="00DF1DFE"/>
    <w:sectPr w:rsidR="00DF1DFE" w:rsidSect="006D7B6D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2FD"/>
    <w:rsid w:val="002002FD"/>
    <w:rsid w:val="00AE048B"/>
    <w:rsid w:val="00DF1DFE"/>
    <w:rsid w:val="00E3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AABE6-634C-411D-8831-4443D421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2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2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C6240907AD7C772FFA378130A92137A1E21FCEC22C7E6E8C2797BCB9D247A578493AC83CB392192AC137F7305F759389A94698866EAEE4F6CCA224Ew9e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2020-02-17T09:23:00Z</dcterms:created>
  <dcterms:modified xsi:type="dcterms:W3CDTF">2020-02-17T09:23:00Z</dcterms:modified>
</cp:coreProperties>
</file>